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Cross-Cohort Comparative Analysis</w:t>
      </w:r>
    </w:p>
    <w:p>
      <w:pPr>
        <w:pStyle w:val="Heading1"/>
      </w:pPr>
      <w:r>
        <w:t>COHORT-BY-COHORT EVALUATION FINDINGS</w:t>
      </w:r>
    </w:p>
    <w:p>
      <w:r>
        <w:t>Baseline confidence levels varied across cohorts due to professional background and prior exposure.</w:t>
      </w:r>
    </w:p>
    <w:p>
      <w:pPr>
        <w:pStyle w:val="Heading2"/>
      </w:pPr>
      <w:r>
        <w:t>Comparative Findings</w:t>
      </w:r>
    </w:p>
    <w:p>
      <w:r>
        <w:t>Improvement in gender knowledge increased from 89% (2023) to 95% (2025).</w:t>
      </w:r>
    </w:p>
    <w:p>
      <w:r>
        <w:t>Confidence in applying gender-responsive approaches increased from 79% to 89%.</w:t>
      </w:r>
    </w:p>
    <w:p>
      <w:r>
        <w:t>Workplace application increased from 72% to 83%.</w:t>
      </w:r>
    </w:p>
    <w:p>
      <w:r>
        <w:t>Institutional action increased from 65% to 75%.</w:t>
      </w:r>
    </w:p>
    <w:p>
      <w:pPr>
        <w:pStyle w:val="Heading2"/>
      </w:pPr>
      <w:r>
        <w:t>Conclusion</w:t>
      </w:r>
    </w:p>
    <w:p>
      <w:r>
        <w:t>Across three cohorts (2023–2025), 120 professionals were trained with consistent improvements in outcomes. The programme demonstrates effectiveness for behavioural and organisational change and provides a foundation for scaling gender-transformative pedagogy.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