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0153" w14:textId="77777777" w:rsidR="00EA3232" w:rsidRPr="00FE64D0" w:rsidRDefault="00000000">
      <w:pPr>
        <w:spacing w:before="100" w:after="40"/>
        <w:jc w:val="center"/>
        <w:rPr>
          <w:rFonts w:ascii="Garamond" w:hAnsi="Garamond" w:cs="Times New Roman"/>
          <w:sz w:val="24"/>
          <w:szCs w:val="24"/>
        </w:rPr>
      </w:pPr>
      <w:r w:rsidRPr="00FE64D0">
        <w:rPr>
          <w:rFonts w:ascii="Garamond" w:hAnsi="Garamond" w:cs="Times New Roman"/>
          <w:b/>
          <w:bCs/>
          <w:sz w:val="24"/>
          <w:szCs w:val="24"/>
        </w:rPr>
        <w:t>PRE AND POST TRAINING EVALUATION REPORT</w:t>
      </w:r>
    </w:p>
    <w:p w14:paraId="34FE7AEF" w14:textId="77777777" w:rsidR="00EA3232" w:rsidRPr="00FE64D0" w:rsidRDefault="00000000">
      <w:pPr>
        <w:spacing w:before="20" w:after="40"/>
        <w:jc w:val="center"/>
        <w:rPr>
          <w:rFonts w:ascii="Garamond" w:hAnsi="Garamond" w:cs="Times New Roman"/>
          <w:sz w:val="24"/>
          <w:szCs w:val="24"/>
        </w:rPr>
      </w:pPr>
      <w:r w:rsidRPr="00FE64D0">
        <w:rPr>
          <w:rFonts w:ascii="Garamond" w:hAnsi="Garamond" w:cs="Times New Roman"/>
          <w:b/>
          <w:bCs/>
          <w:sz w:val="24"/>
          <w:szCs w:val="24"/>
        </w:rPr>
        <w:t>Advancing Gender Equality Through Youth Engagement and Enhancing Gender-Responsive Pedagogy in the Classroom</w:t>
      </w:r>
    </w:p>
    <w:p w14:paraId="49AEB756" w14:textId="77777777" w:rsidR="00EA3232" w:rsidRPr="00FE64D0" w:rsidRDefault="00000000">
      <w:pPr>
        <w:spacing w:before="200" w:after="80"/>
        <w:rPr>
          <w:rFonts w:ascii="Garamond" w:hAnsi="Garamond" w:cs="Times New Roman"/>
          <w:sz w:val="24"/>
          <w:szCs w:val="24"/>
        </w:rPr>
      </w:pPr>
      <w:r w:rsidRPr="00FE64D0">
        <w:rPr>
          <w:rFonts w:ascii="Garamond" w:hAnsi="Garamond" w:cs="Times New Roman"/>
          <w:b/>
          <w:bCs/>
          <w:sz w:val="24"/>
          <w:szCs w:val="24"/>
        </w:rPr>
        <w:t xml:space="preserve">1. </w:t>
      </w:r>
      <w:proofErr w:type="spellStart"/>
      <w:r w:rsidRPr="00FE64D0">
        <w:rPr>
          <w:rFonts w:ascii="Garamond" w:hAnsi="Garamond" w:cs="Times New Roman"/>
          <w:b/>
          <w:bCs/>
          <w:sz w:val="24"/>
          <w:szCs w:val="24"/>
        </w:rPr>
        <w:t>Programme</w:t>
      </w:r>
      <w:proofErr w:type="spellEnd"/>
      <w:r w:rsidRPr="00FE64D0">
        <w:rPr>
          <w:rFonts w:ascii="Garamond" w:hAnsi="Garamond" w:cs="Times New Roman"/>
          <w:b/>
          <w:bCs/>
          <w:sz w:val="24"/>
          <w:szCs w:val="24"/>
        </w:rPr>
        <w:t xml:space="preserve"> Background and Relevance</w:t>
      </w:r>
    </w:p>
    <w:p w14:paraId="4EBC2918" w14:textId="0377A994" w:rsidR="00EA3232" w:rsidRPr="00FE64D0" w:rsidRDefault="00000000">
      <w:pPr>
        <w:spacing w:before="40" w:after="60"/>
        <w:jc w:val="both"/>
        <w:rPr>
          <w:rFonts w:ascii="Garamond" w:hAnsi="Garamond" w:cs="Times New Roman"/>
          <w:sz w:val="24"/>
          <w:szCs w:val="24"/>
        </w:rPr>
      </w:pPr>
      <w:r w:rsidRPr="00FE64D0">
        <w:rPr>
          <w:rFonts w:ascii="Garamond" w:hAnsi="Garamond" w:cs="Times New Roman"/>
          <w:sz w:val="24"/>
          <w:szCs w:val="24"/>
        </w:rPr>
        <w:t xml:space="preserve">On 22 April 2026, the Centre for Gender and Social Policy Studies (CGSPS) at Obafemi Awolowo University, Ile-Ife, in partnership with the NYSC Sustainable Development CDS Group, Ife Central LGA, delivered a one-day training </w:t>
      </w:r>
      <w:proofErr w:type="spellStart"/>
      <w:r w:rsidRPr="00FE64D0">
        <w:rPr>
          <w:rFonts w:ascii="Garamond" w:hAnsi="Garamond" w:cs="Times New Roman"/>
          <w:sz w:val="24"/>
          <w:szCs w:val="24"/>
        </w:rPr>
        <w:t>programme</w:t>
      </w:r>
      <w:proofErr w:type="spellEnd"/>
      <w:r w:rsidRPr="00FE64D0">
        <w:rPr>
          <w:rFonts w:ascii="Garamond" w:hAnsi="Garamond" w:cs="Times New Roman"/>
          <w:sz w:val="24"/>
          <w:szCs w:val="24"/>
        </w:rPr>
        <w:t xml:space="preserve"> on gender equality and gender-responsive pedagogy in Ile-Ife, Osun State. Participants were National Youth Service Corps members deployed as teachers in primary and junior secondary schools across Ife Central LGA, many of whom serve as the primary teacher in their assigned schools. </w:t>
      </w:r>
      <w:r w:rsidR="00D545AF" w:rsidRPr="00FE64D0">
        <w:rPr>
          <w:rFonts w:ascii="Garamond" w:hAnsi="Garamond" w:cs="Times New Roman"/>
          <w:sz w:val="24"/>
          <w:szCs w:val="24"/>
        </w:rPr>
        <w:t xml:space="preserve">The training is one of the activities being implemented under CGSPS' continuous capacity building trainings for teachers for gender transformative pedagogy in Osun State public schools. It is directly related to the Bespoke Hybrid Certificate Course project proposed, where it will be adapted for teachers working </w:t>
      </w:r>
      <w:r w:rsidR="00FE64D0" w:rsidRPr="00FE64D0">
        <w:rPr>
          <w:rFonts w:ascii="Garamond" w:hAnsi="Garamond" w:cs="Times New Roman"/>
          <w:sz w:val="24"/>
          <w:szCs w:val="24"/>
        </w:rPr>
        <w:t xml:space="preserve">in </w:t>
      </w:r>
      <w:r w:rsidR="00D545AF" w:rsidRPr="00FE64D0">
        <w:rPr>
          <w:rFonts w:ascii="Garamond" w:hAnsi="Garamond" w:cs="Times New Roman"/>
          <w:sz w:val="24"/>
          <w:szCs w:val="24"/>
        </w:rPr>
        <w:t xml:space="preserve">secondary schools. </w:t>
      </w:r>
    </w:p>
    <w:p w14:paraId="2381692B" w14:textId="77777777" w:rsidR="00EA3232" w:rsidRPr="00FE64D0" w:rsidRDefault="00000000">
      <w:pPr>
        <w:spacing w:before="200" w:after="80"/>
        <w:rPr>
          <w:rFonts w:ascii="Garamond" w:hAnsi="Garamond" w:cs="Times New Roman"/>
          <w:sz w:val="24"/>
          <w:szCs w:val="24"/>
        </w:rPr>
      </w:pPr>
      <w:r w:rsidRPr="00FE64D0">
        <w:rPr>
          <w:rFonts w:ascii="Garamond" w:hAnsi="Garamond" w:cs="Times New Roman"/>
          <w:b/>
          <w:bCs/>
          <w:sz w:val="24"/>
          <w:szCs w:val="24"/>
        </w:rPr>
        <w:t>2. Evaluation Methodology</w:t>
      </w:r>
    </w:p>
    <w:p w14:paraId="36AC5C3B" w14:textId="77777777" w:rsidR="00EA3232" w:rsidRPr="00FE64D0" w:rsidRDefault="00EA3232">
      <w:pPr>
        <w:spacing w:before="60" w:after="40"/>
        <w:rPr>
          <w:rFonts w:ascii="Garamond" w:hAnsi="Garamond" w:cs="Times New Roman"/>
          <w:sz w:val="24"/>
          <w:szCs w:val="24"/>
        </w:rPr>
      </w:pPr>
    </w:p>
    <w:tbl>
      <w:tblPr>
        <w:tblStyle w:val="TableGrid"/>
        <w:tblW w:w="9720" w:type="dxa"/>
        <w:tblLook w:val="0000" w:firstRow="0" w:lastRow="0" w:firstColumn="0" w:lastColumn="0" w:noHBand="0" w:noVBand="0"/>
      </w:tblPr>
      <w:tblGrid>
        <w:gridCol w:w="2600"/>
        <w:gridCol w:w="7120"/>
      </w:tblGrid>
      <w:tr w:rsidR="00327113" w:rsidRPr="00FE64D0" w14:paraId="5E2D0728" w14:textId="77777777" w:rsidTr="00327113">
        <w:tc>
          <w:tcPr>
            <w:tcW w:w="2600" w:type="dxa"/>
          </w:tcPr>
          <w:p w14:paraId="0D5B1376" w14:textId="77777777" w:rsidR="00EA3232" w:rsidRPr="00FE64D0" w:rsidRDefault="00000000">
            <w:pPr>
              <w:rPr>
                <w:rFonts w:ascii="Garamond" w:hAnsi="Garamond" w:cs="Times New Roman"/>
                <w:sz w:val="24"/>
                <w:szCs w:val="24"/>
              </w:rPr>
            </w:pPr>
            <w:r w:rsidRPr="00FE64D0">
              <w:rPr>
                <w:rFonts w:ascii="Garamond" w:hAnsi="Garamond" w:cs="Times New Roman"/>
                <w:b/>
                <w:bCs/>
                <w:sz w:val="24"/>
                <w:szCs w:val="24"/>
              </w:rPr>
              <w:t>Component</w:t>
            </w:r>
          </w:p>
        </w:tc>
        <w:tc>
          <w:tcPr>
            <w:tcW w:w="7120" w:type="dxa"/>
          </w:tcPr>
          <w:p w14:paraId="7A06490A" w14:textId="77777777" w:rsidR="00EA3232" w:rsidRPr="00FE64D0" w:rsidRDefault="00000000">
            <w:pPr>
              <w:jc w:val="center"/>
              <w:rPr>
                <w:rFonts w:ascii="Garamond" w:hAnsi="Garamond" w:cs="Times New Roman"/>
                <w:sz w:val="24"/>
                <w:szCs w:val="24"/>
              </w:rPr>
            </w:pPr>
            <w:r w:rsidRPr="00FE64D0">
              <w:rPr>
                <w:rFonts w:ascii="Garamond" w:hAnsi="Garamond" w:cs="Times New Roman"/>
                <w:b/>
                <w:bCs/>
                <w:sz w:val="24"/>
                <w:szCs w:val="24"/>
              </w:rPr>
              <w:t>Details</w:t>
            </w:r>
          </w:p>
        </w:tc>
      </w:tr>
      <w:tr w:rsidR="00327113" w:rsidRPr="00FE64D0" w14:paraId="20020DDA" w14:textId="77777777" w:rsidTr="00327113">
        <w:tc>
          <w:tcPr>
            <w:tcW w:w="2600" w:type="dxa"/>
          </w:tcPr>
          <w:p w14:paraId="0078738F" w14:textId="77777777" w:rsidR="00EA3232" w:rsidRPr="00FE64D0" w:rsidRDefault="00000000">
            <w:pPr>
              <w:rPr>
                <w:rFonts w:ascii="Garamond" w:hAnsi="Garamond" w:cs="Times New Roman"/>
                <w:sz w:val="24"/>
                <w:szCs w:val="24"/>
              </w:rPr>
            </w:pPr>
            <w:r w:rsidRPr="00FE64D0">
              <w:rPr>
                <w:rFonts w:ascii="Garamond" w:hAnsi="Garamond" w:cs="Times New Roman"/>
                <w:sz w:val="24"/>
                <w:szCs w:val="24"/>
              </w:rPr>
              <w:t>Pre-test respondents</w:t>
            </w:r>
          </w:p>
        </w:tc>
        <w:tc>
          <w:tcPr>
            <w:tcW w:w="7120" w:type="dxa"/>
          </w:tcPr>
          <w:p w14:paraId="27F5E940" w14:textId="77777777" w:rsidR="00EA3232" w:rsidRPr="00FE64D0" w:rsidRDefault="00000000">
            <w:pPr>
              <w:jc w:val="center"/>
              <w:rPr>
                <w:rFonts w:ascii="Garamond" w:hAnsi="Garamond" w:cs="Times New Roman"/>
                <w:sz w:val="24"/>
                <w:szCs w:val="24"/>
              </w:rPr>
            </w:pPr>
            <w:r w:rsidRPr="00FE64D0">
              <w:rPr>
                <w:rFonts w:ascii="Garamond" w:hAnsi="Garamond" w:cs="Times New Roman"/>
                <w:sz w:val="24"/>
                <w:szCs w:val="24"/>
              </w:rPr>
              <w:t>26 corps members deployed to primary and junior secondary schools</w:t>
            </w:r>
          </w:p>
        </w:tc>
      </w:tr>
      <w:tr w:rsidR="00327113" w:rsidRPr="00FE64D0" w14:paraId="14DCA9F7" w14:textId="77777777" w:rsidTr="00327113">
        <w:tc>
          <w:tcPr>
            <w:tcW w:w="2600" w:type="dxa"/>
          </w:tcPr>
          <w:p w14:paraId="09DA1BC2" w14:textId="77777777" w:rsidR="00EA3232" w:rsidRPr="00FE64D0" w:rsidRDefault="00000000">
            <w:pPr>
              <w:rPr>
                <w:rFonts w:ascii="Garamond" w:hAnsi="Garamond" w:cs="Times New Roman"/>
                <w:sz w:val="24"/>
                <w:szCs w:val="24"/>
              </w:rPr>
            </w:pPr>
            <w:r w:rsidRPr="00FE64D0">
              <w:rPr>
                <w:rFonts w:ascii="Garamond" w:hAnsi="Garamond" w:cs="Times New Roman"/>
                <w:sz w:val="24"/>
                <w:szCs w:val="24"/>
              </w:rPr>
              <w:t>Post-test respondents</w:t>
            </w:r>
          </w:p>
        </w:tc>
        <w:tc>
          <w:tcPr>
            <w:tcW w:w="7120" w:type="dxa"/>
          </w:tcPr>
          <w:p w14:paraId="0F679C1C" w14:textId="793D8FFE" w:rsidR="00EA3232" w:rsidRPr="00FE64D0" w:rsidRDefault="00B04334">
            <w:pPr>
              <w:jc w:val="center"/>
              <w:rPr>
                <w:rFonts w:ascii="Garamond" w:hAnsi="Garamond" w:cs="Times New Roman"/>
                <w:sz w:val="24"/>
                <w:szCs w:val="24"/>
              </w:rPr>
            </w:pPr>
            <w:r w:rsidRPr="00FE64D0">
              <w:rPr>
                <w:rFonts w:ascii="Garamond" w:hAnsi="Garamond" w:cs="Times New Roman"/>
                <w:sz w:val="24"/>
                <w:szCs w:val="24"/>
              </w:rPr>
              <w:t>26</w:t>
            </w:r>
            <w:r w:rsidR="00327113" w:rsidRPr="00FE64D0">
              <w:rPr>
                <w:rFonts w:ascii="Garamond" w:hAnsi="Garamond" w:cs="Times New Roman"/>
                <w:sz w:val="24"/>
                <w:szCs w:val="24"/>
              </w:rPr>
              <w:t xml:space="preserve"> corps members </w:t>
            </w:r>
          </w:p>
        </w:tc>
      </w:tr>
      <w:tr w:rsidR="00327113" w:rsidRPr="00FE64D0" w14:paraId="52536DAD" w14:textId="77777777" w:rsidTr="00327113">
        <w:tc>
          <w:tcPr>
            <w:tcW w:w="2600" w:type="dxa"/>
          </w:tcPr>
          <w:p w14:paraId="70712502" w14:textId="77777777" w:rsidR="00EA3232" w:rsidRPr="00FE64D0" w:rsidRDefault="00000000">
            <w:pPr>
              <w:rPr>
                <w:rFonts w:ascii="Garamond" w:hAnsi="Garamond" w:cs="Times New Roman"/>
                <w:sz w:val="24"/>
                <w:szCs w:val="24"/>
              </w:rPr>
            </w:pPr>
            <w:r w:rsidRPr="00FE64D0">
              <w:rPr>
                <w:rFonts w:ascii="Garamond" w:hAnsi="Garamond" w:cs="Times New Roman"/>
                <w:sz w:val="24"/>
                <w:szCs w:val="24"/>
              </w:rPr>
              <w:t>Tools used</w:t>
            </w:r>
          </w:p>
        </w:tc>
        <w:tc>
          <w:tcPr>
            <w:tcW w:w="7120" w:type="dxa"/>
          </w:tcPr>
          <w:p w14:paraId="3FA5AFBB" w14:textId="19F05177" w:rsidR="00EA3232" w:rsidRPr="00FE64D0" w:rsidRDefault="00BD2134">
            <w:pPr>
              <w:jc w:val="center"/>
              <w:rPr>
                <w:rFonts w:ascii="Garamond" w:hAnsi="Garamond" w:cs="Times New Roman"/>
                <w:sz w:val="24"/>
                <w:szCs w:val="24"/>
              </w:rPr>
            </w:pPr>
            <w:r w:rsidRPr="00FE64D0">
              <w:rPr>
                <w:rFonts w:ascii="Garamond" w:hAnsi="Garamond" w:cs="Times New Roman"/>
                <w:sz w:val="24"/>
                <w:szCs w:val="24"/>
              </w:rPr>
              <w:t>36 item structured questionnaire (25 graded questions) on sex/gender distinction, gender norms, equality/equity concepts and scenario application. 6 items Likert-scale feedback form.</w:t>
            </w:r>
          </w:p>
        </w:tc>
      </w:tr>
      <w:tr w:rsidR="00327113" w:rsidRPr="00FE64D0" w14:paraId="2465DBAE" w14:textId="77777777" w:rsidTr="00327113">
        <w:tc>
          <w:tcPr>
            <w:tcW w:w="2600" w:type="dxa"/>
          </w:tcPr>
          <w:p w14:paraId="65A37065" w14:textId="77777777" w:rsidR="00EA3232" w:rsidRPr="00FE64D0" w:rsidRDefault="00000000">
            <w:pPr>
              <w:rPr>
                <w:rFonts w:ascii="Garamond" w:hAnsi="Garamond" w:cs="Times New Roman"/>
                <w:sz w:val="24"/>
                <w:szCs w:val="24"/>
              </w:rPr>
            </w:pPr>
            <w:r w:rsidRPr="00FE64D0">
              <w:rPr>
                <w:rFonts w:ascii="Garamond" w:hAnsi="Garamond" w:cs="Times New Roman"/>
                <w:sz w:val="24"/>
                <w:szCs w:val="24"/>
              </w:rPr>
              <w:t>Data collection</w:t>
            </w:r>
          </w:p>
        </w:tc>
        <w:tc>
          <w:tcPr>
            <w:tcW w:w="7120" w:type="dxa"/>
          </w:tcPr>
          <w:p w14:paraId="4A1BB7C5" w14:textId="523F0C94" w:rsidR="00EA3232" w:rsidRPr="00FE64D0" w:rsidRDefault="00000000">
            <w:pPr>
              <w:jc w:val="center"/>
              <w:rPr>
                <w:rFonts w:ascii="Garamond" w:hAnsi="Garamond" w:cs="Times New Roman"/>
                <w:sz w:val="24"/>
                <w:szCs w:val="24"/>
              </w:rPr>
            </w:pPr>
            <w:r w:rsidRPr="00FE64D0">
              <w:rPr>
                <w:rFonts w:ascii="Garamond" w:hAnsi="Garamond" w:cs="Times New Roman"/>
                <w:sz w:val="24"/>
                <w:szCs w:val="24"/>
              </w:rPr>
              <w:t>Both instruments administered via Google Forms.</w:t>
            </w:r>
          </w:p>
        </w:tc>
      </w:tr>
      <w:tr w:rsidR="00327113" w:rsidRPr="00FE64D0" w14:paraId="3A95133B" w14:textId="77777777" w:rsidTr="00327113">
        <w:tc>
          <w:tcPr>
            <w:tcW w:w="2600" w:type="dxa"/>
          </w:tcPr>
          <w:p w14:paraId="72A97740" w14:textId="77777777" w:rsidR="00EA3232" w:rsidRPr="00FE64D0" w:rsidRDefault="00000000">
            <w:pPr>
              <w:rPr>
                <w:rFonts w:ascii="Garamond" w:hAnsi="Garamond" w:cs="Times New Roman"/>
                <w:sz w:val="24"/>
                <w:szCs w:val="24"/>
              </w:rPr>
            </w:pPr>
            <w:r w:rsidRPr="00FE64D0">
              <w:rPr>
                <w:rFonts w:ascii="Garamond" w:hAnsi="Garamond" w:cs="Times New Roman"/>
                <w:sz w:val="24"/>
                <w:szCs w:val="24"/>
              </w:rPr>
              <w:t>Analysis</w:t>
            </w:r>
          </w:p>
        </w:tc>
        <w:tc>
          <w:tcPr>
            <w:tcW w:w="7120" w:type="dxa"/>
          </w:tcPr>
          <w:p w14:paraId="6A50D8AB" w14:textId="77777777" w:rsidR="00EA3232" w:rsidRPr="00FE64D0" w:rsidRDefault="00000000">
            <w:pPr>
              <w:jc w:val="center"/>
              <w:rPr>
                <w:rFonts w:ascii="Garamond" w:hAnsi="Garamond" w:cs="Times New Roman"/>
                <w:sz w:val="24"/>
                <w:szCs w:val="24"/>
              </w:rPr>
            </w:pPr>
            <w:r w:rsidRPr="00FE64D0">
              <w:rPr>
                <w:rFonts w:ascii="Garamond" w:hAnsi="Garamond" w:cs="Times New Roman"/>
                <w:sz w:val="24"/>
                <w:szCs w:val="24"/>
              </w:rPr>
              <w:t xml:space="preserve">Pre-test scores </w:t>
            </w:r>
            <w:proofErr w:type="spellStart"/>
            <w:r w:rsidRPr="00FE64D0">
              <w:rPr>
                <w:rFonts w:ascii="Garamond" w:hAnsi="Garamond" w:cs="Times New Roman"/>
                <w:sz w:val="24"/>
                <w:szCs w:val="24"/>
              </w:rPr>
              <w:t>analysed</w:t>
            </w:r>
            <w:proofErr w:type="spellEnd"/>
            <w:r w:rsidRPr="00FE64D0">
              <w:rPr>
                <w:rFonts w:ascii="Garamond" w:hAnsi="Garamond" w:cs="Times New Roman"/>
                <w:sz w:val="24"/>
                <w:szCs w:val="24"/>
              </w:rPr>
              <w:t xml:space="preserve"> by performance band. Post-test Likert responses tabulated by frequency. Intended </w:t>
            </w:r>
            <w:proofErr w:type="spellStart"/>
            <w:r w:rsidRPr="00FE64D0">
              <w:rPr>
                <w:rFonts w:ascii="Garamond" w:hAnsi="Garamond" w:cs="Times New Roman"/>
                <w:sz w:val="24"/>
                <w:szCs w:val="24"/>
              </w:rPr>
              <w:t>behaviour</w:t>
            </w:r>
            <w:proofErr w:type="spellEnd"/>
            <w:r w:rsidRPr="00FE64D0">
              <w:rPr>
                <w:rFonts w:ascii="Garamond" w:hAnsi="Garamond" w:cs="Times New Roman"/>
                <w:sz w:val="24"/>
                <w:szCs w:val="24"/>
              </w:rPr>
              <w:t xml:space="preserve"> change responses </w:t>
            </w:r>
            <w:proofErr w:type="spellStart"/>
            <w:r w:rsidRPr="00FE64D0">
              <w:rPr>
                <w:rFonts w:ascii="Garamond" w:hAnsi="Garamond" w:cs="Times New Roman"/>
                <w:sz w:val="24"/>
                <w:szCs w:val="24"/>
              </w:rPr>
              <w:t>analysed</w:t>
            </w:r>
            <w:proofErr w:type="spellEnd"/>
            <w:r w:rsidRPr="00FE64D0">
              <w:rPr>
                <w:rFonts w:ascii="Garamond" w:hAnsi="Garamond" w:cs="Times New Roman"/>
                <w:sz w:val="24"/>
                <w:szCs w:val="24"/>
              </w:rPr>
              <w:t xml:space="preserve"> thematically.</w:t>
            </w:r>
          </w:p>
        </w:tc>
      </w:tr>
    </w:tbl>
    <w:p w14:paraId="040F829F" w14:textId="77777777" w:rsidR="00EA3232" w:rsidRPr="00FE64D0" w:rsidRDefault="00000000">
      <w:pPr>
        <w:spacing w:before="200" w:after="80"/>
        <w:rPr>
          <w:rFonts w:ascii="Garamond" w:hAnsi="Garamond" w:cs="Times New Roman"/>
          <w:sz w:val="24"/>
          <w:szCs w:val="24"/>
        </w:rPr>
      </w:pPr>
      <w:r w:rsidRPr="00FE64D0">
        <w:rPr>
          <w:rFonts w:ascii="Garamond" w:hAnsi="Garamond" w:cs="Times New Roman"/>
          <w:b/>
          <w:bCs/>
          <w:sz w:val="24"/>
          <w:szCs w:val="24"/>
        </w:rPr>
        <w:t>3. Participant Profile and Baseline Knowledge</w:t>
      </w:r>
    </w:p>
    <w:p w14:paraId="6212CC7A" w14:textId="20B14DD0" w:rsidR="00EA3232" w:rsidRPr="00FE64D0" w:rsidRDefault="00164CD3">
      <w:pPr>
        <w:spacing w:before="40" w:after="60"/>
        <w:jc w:val="both"/>
        <w:rPr>
          <w:rFonts w:ascii="Garamond" w:hAnsi="Garamond" w:cs="Times New Roman"/>
          <w:sz w:val="24"/>
          <w:szCs w:val="24"/>
        </w:rPr>
      </w:pPr>
      <w:r w:rsidRPr="00FE64D0">
        <w:rPr>
          <w:rFonts w:ascii="Garamond" w:hAnsi="Garamond" w:cs="Times New Roman"/>
          <w:sz w:val="24"/>
          <w:szCs w:val="24"/>
        </w:rPr>
        <w:t>The scores on the pre-test ranged from 10 to 25 out of 25 with a mean score of 19.9. Fifteen participants (57.7%) scored 20 or above, seven (26.9%) scored between 15 and 19, and four (15.4%) scored below 15. Before the training, many participants could not clearly distinguish between biological sex and gender, and several confused gender</w:t>
      </w:r>
      <w:r w:rsidR="00B04334" w:rsidRPr="00FE64D0">
        <w:rPr>
          <w:rFonts w:ascii="Garamond" w:hAnsi="Garamond" w:cs="Times New Roman"/>
          <w:sz w:val="24"/>
          <w:szCs w:val="24"/>
        </w:rPr>
        <w:t xml:space="preserve"> </w:t>
      </w:r>
      <w:proofErr w:type="gramStart"/>
      <w:r w:rsidRPr="00FE64D0">
        <w:rPr>
          <w:rFonts w:ascii="Garamond" w:hAnsi="Garamond" w:cs="Times New Roman"/>
          <w:sz w:val="24"/>
          <w:szCs w:val="24"/>
        </w:rPr>
        <w:t>equality</w:t>
      </w:r>
      <w:proofErr w:type="gramEnd"/>
      <w:r w:rsidRPr="00FE64D0">
        <w:rPr>
          <w:rFonts w:ascii="Garamond" w:hAnsi="Garamond" w:cs="Times New Roman"/>
          <w:sz w:val="24"/>
          <w:szCs w:val="24"/>
        </w:rPr>
        <w:t xml:space="preserve"> with gender equity, misclassifying equity-based classroom interventions as equality measures. </w:t>
      </w:r>
      <w:r w:rsidR="0025202A" w:rsidRPr="00FE64D0">
        <w:rPr>
          <w:rFonts w:ascii="Garamond" w:hAnsi="Garamond" w:cs="Times New Roman"/>
          <w:sz w:val="24"/>
          <w:szCs w:val="24"/>
        </w:rPr>
        <w:t xml:space="preserve">Some participants </w:t>
      </w:r>
      <w:proofErr w:type="spellStart"/>
      <w:r w:rsidR="0025202A" w:rsidRPr="00FE64D0">
        <w:rPr>
          <w:rFonts w:ascii="Garamond" w:hAnsi="Garamond" w:cs="Times New Roman"/>
          <w:sz w:val="24"/>
          <w:szCs w:val="24"/>
        </w:rPr>
        <w:t>categorised</w:t>
      </w:r>
      <w:proofErr w:type="spellEnd"/>
      <w:r w:rsidR="0025202A" w:rsidRPr="00FE64D0">
        <w:rPr>
          <w:rFonts w:ascii="Garamond" w:hAnsi="Garamond" w:cs="Times New Roman"/>
          <w:sz w:val="24"/>
          <w:szCs w:val="24"/>
        </w:rPr>
        <w:t xml:space="preserve"> equity-related classroom interventions as equality rather than equity, including the provision of extra academic support for female learners or adjusting learning environments to address gender disadvantage. </w:t>
      </w:r>
    </w:p>
    <w:p w14:paraId="3B4D2773" w14:textId="0BA90A47" w:rsidR="00EA3232" w:rsidRPr="00FE64D0" w:rsidRDefault="00000000">
      <w:pPr>
        <w:spacing w:before="200" w:after="80"/>
        <w:rPr>
          <w:rFonts w:ascii="Garamond" w:hAnsi="Garamond" w:cs="Times New Roman"/>
          <w:sz w:val="24"/>
          <w:szCs w:val="24"/>
        </w:rPr>
      </w:pPr>
      <w:r w:rsidRPr="00FE64D0">
        <w:rPr>
          <w:rFonts w:ascii="Garamond" w:hAnsi="Garamond" w:cs="Times New Roman"/>
          <w:b/>
          <w:bCs/>
          <w:sz w:val="24"/>
          <w:szCs w:val="24"/>
        </w:rPr>
        <w:t>4. Attitude Change After Training</w:t>
      </w:r>
    </w:p>
    <w:p w14:paraId="19EF4663" w14:textId="218621F0" w:rsidR="00EA3232" w:rsidRPr="00FE64D0" w:rsidRDefault="00000000">
      <w:pPr>
        <w:spacing w:before="40" w:after="60"/>
        <w:jc w:val="both"/>
        <w:rPr>
          <w:rFonts w:ascii="Garamond" w:hAnsi="Garamond" w:cs="Times New Roman"/>
          <w:sz w:val="24"/>
          <w:szCs w:val="24"/>
        </w:rPr>
      </w:pPr>
      <w:r w:rsidRPr="00FE64D0">
        <w:rPr>
          <w:rFonts w:ascii="Garamond" w:hAnsi="Garamond" w:cs="Times New Roman"/>
          <w:sz w:val="24"/>
          <w:szCs w:val="24"/>
        </w:rPr>
        <w:t xml:space="preserve">All </w:t>
      </w:r>
      <w:r w:rsidR="00F50C3E" w:rsidRPr="00FE64D0">
        <w:rPr>
          <w:rFonts w:ascii="Garamond" w:hAnsi="Garamond" w:cs="Times New Roman"/>
          <w:sz w:val="24"/>
          <w:szCs w:val="24"/>
        </w:rPr>
        <w:t>twenty-six</w:t>
      </w:r>
      <w:r w:rsidRPr="00FE64D0">
        <w:rPr>
          <w:rFonts w:ascii="Garamond" w:hAnsi="Garamond" w:cs="Times New Roman"/>
          <w:sz w:val="24"/>
          <w:szCs w:val="24"/>
        </w:rPr>
        <w:t xml:space="preserve"> post-test respondents agreed or strongly agreed that they now have a clearer understanding of the sex and gender distinction. </w:t>
      </w:r>
      <w:r w:rsidR="00F50C3E" w:rsidRPr="00FE64D0">
        <w:rPr>
          <w:rFonts w:ascii="Garamond" w:hAnsi="Garamond" w:cs="Times New Roman"/>
          <w:sz w:val="24"/>
          <w:szCs w:val="24"/>
        </w:rPr>
        <w:t>Twenty-five out</w:t>
      </w:r>
      <w:r w:rsidRPr="00FE64D0">
        <w:rPr>
          <w:rFonts w:ascii="Garamond" w:hAnsi="Garamond" w:cs="Times New Roman"/>
          <w:sz w:val="24"/>
          <w:szCs w:val="24"/>
        </w:rPr>
        <w:t xml:space="preserve"> of </w:t>
      </w:r>
      <w:r w:rsidR="00F50C3E" w:rsidRPr="00FE64D0">
        <w:rPr>
          <w:rFonts w:ascii="Garamond" w:hAnsi="Garamond" w:cs="Times New Roman"/>
          <w:sz w:val="24"/>
          <w:szCs w:val="24"/>
        </w:rPr>
        <w:t>twenty-six</w:t>
      </w:r>
      <w:r w:rsidRPr="00FE64D0">
        <w:rPr>
          <w:rFonts w:ascii="Garamond" w:hAnsi="Garamond" w:cs="Times New Roman"/>
          <w:sz w:val="24"/>
          <w:szCs w:val="24"/>
        </w:rPr>
        <w:t xml:space="preserve"> strongly agreed they could distinguish between gender equality and equity, the highest rate of strong positive response across all items and the most significant conceptual shift given pre-test performance. </w:t>
      </w:r>
      <w:r w:rsidR="00F50C3E" w:rsidRPr="00FE64D0">
        <w:rPr>
          <w:rFonts w:ascii="Garamond" w:hAnsi="Garamond" w:cs="Times New Roman"/>
          <w:sz w:val="24"/>
          <w:szCs w:val="24"/>
        </w:rPr>
        <w:t>All respondents</w:t>
      </w:r>
      <w:r w:rsidRPr="00FE64D0">
        <w:rPr>
          <w:rFonts w:ascii="Garamond" w:hAnsi="Garamond" w:cs="Times New Roman"/>
          <w:sz w:val="24"/>
          <w:szCs w:val="24"/>
        </w:rPr>
        <w:t xml:space="preserve"> agreed or strongly agreed they were more aware of how gender roles affect everyday life, and they felt better equipped to </w:t>
      </w:r>
      <w:proofErr w:type="spellStart"/>
      <w:r w:rsidRPr="00FE64D0">
        <w:rPr>
          <w:rFonts w:ascii="Garamond" w:hAnsi="Garamond" w:cs="Times New Roman"/>
          <w:sz w:val="24"/>
          <w:szCs w:val="24"/>
        </w:rPr>
        <w:t>recognise</w:t>
      </w:r>
      <w:proofErr w:type="spellEnd"/>
      <w:r w:rsidRPr="00FE64D0">
        <w:rPr>
          <w:rFonts w:ascii="Garamond" w:hAnsi="Garamond" w:cs="Times New Roman"/>
          <w:sz w:val="24"/>
          <w:szCs w:val="24"/>
        </w:rPr>
        <w:t xml:space="preserve"> gender bias in </w:t>
      </w:r>
      <w:r w:rsidR="00B04334" w:rsidRPr="00FE64D0">
        <w:rPr>
          <w:rFonts w:ascii="Garamond" w:hAnsi="Garamond" w:cs="Times New Roman"/>
          <w:sz w:val="24"/>
          <w:szCs w:val="24"/>
        </w:rPr>
        <w:t>their classrooms</w:t>
      </w:r>
      <w:r w:rsidRPr="00FE64D0">
        <w:rPr>
          <w:rFonts w:ascii="Garamond" w:hAnsi="Garamond" w:cs="Times New Roman"/>
          <w:sz w:val="24"/>
          <w:szCs w:val="24"/>
        </w:rPr>
        <w:t xml:space="preserve"> or workplace settings</w:t>
      </w:r>
      <w:r w:rsidR="00B04334" w:rsidRPr="00FE64D0">
        <w:rPr>
          <w:rFonts w:ascii="Garamond" w:hAnsi="Garamond" w:cs="Times New Roman"/>
          <w:sz w:val="24"/>
          <w:szCs w:val="24"/>
        </w:rPr>
        <w:t xml:space="preserve"> and community at large</w:t>
      </w:r>
      <w:r w:rsidRPr="00FE64D0">
        <w:rPr>
          <w:rFonts w:ascii="Garamond" w:hAnsi="Garamond" w:cs="Times New Roman"/>
          <w:sz w:val="24"/>
          <w:szCs w:val="24"/>
        </w:rPr>
        <w:t xml:space="preserve">. These attitude shifts are foundational to the deeper </w:t>
      </w:r>
      <w:proofErr w:type="spellStart"/>
      <w:r w:rsidRPr="00FE64D0">
        <w:rPr>
          <w:rFonts w:ascii="Garamond" w:hAnsi="Garamond" w:cs="Times New Roman"/>
          <w:sz w:val="24"/>
          <w:szCs w:val="24"/>
        </w:rPr>
        <w:t>behavioural</w:t>
      </w:r>
      <w:proofErr w:type="spellEnd"/>
      <w:r w:rsidRPr="00FE64D0">
        <w:rPr>
          <w:rFonts w:ascii="Garamond" w:hAnsi="Garamond" w:cs="Times New Roman"/>
          <w:sz w:val="24"/>
          <w:szCs w:val="24"/>
        </w:rPr>
        <w:t xml:space="preserve"> and pedagogical changes that the proposed Bespoke GTP intervention seeks to produce among </w:t>
      </w:r>
      <w:proofErr w:type="spellStart"/>
      <w:r w:rsidR="00F50C3E" w:rsidRPr="00FE64D0">
        <w:rPr>
          <w:rFonts w:ascii="Garamond" w:hAnsi="Garamond" w:cs="Times New Roman"/>
          <w:sz w:val="24"/>
          <w:szCs w:val="24"/>
        </w:rPr>
        <w:t>corp</w:t>
      </w:r>
      <w:proofErr w:type="spellEnd"/>
      <w:r w:rsidR="00F50C3E" w:rsidRPr="00FE64D0">
        <w:rPr>
          <w:rFonts w:ascii="Garamond" w:hAnsi="Garamond" w:cs="Times New Roman"/>
          <w:sz w:val="24"/>
          <w:szCs w:val="24"/>
        </w:rPr>
        <w:t xml:space="preserve"> members who are </w:t>
      </w:r>
      <w:r w:rsidRPr="00FE64D0">
        <w:rPr>
          <w:rFonts w:ascii="Garamond" w:hAnsi="Garamond" w:cs="Times New Roman"/>
          <w:sz w:val="24"/>
          <w:szCs w:val="24"/>
        </w:rPr>
        <w:t>teachers.</w:t>
      </w:r>
    </w:p>
    <w:p w14:paraId="0B6C151E" w14:textId="77777777" w:rsidR="00EA3232" w:rsidRPr="00FE64D0" w:rsidRDefault="00000000">
      <w:pPr>
        <w:spacing w:before="200" w:after="80"/>
        <w:rPr>
          <w:rFonts w:ascii="Garamond" w:hAnsi="Garamond" w:cs="Times New Roman"/>
          <w:sz w:val="24"/>
          <w:szCs w:val="24"/>
        </w:rPr>
      </w:pPr>
      <w:r w:rsidRPr="00FE64D0">
        <w:rPr>
          <w:rFonts w:ascii="Garamond" w:hAnsi="Garamond" w:cs="Times New Roman"/>
          <w:b/>
          <w:bCs/>
          <w:sz w:val="24"/>
          <w:szCs w:val="24"/>
        </w:rPr>
        <w:t xml:space="preserve">5. Intended </w:t>
      </w:r>
      <w:proofErr w:type="spellStart"/>
      <w:r w:rsidRPr="00FE64D0">
        <w:rPr>
          <w:rFonts w:ascii="Garamond" w:hAnsi="Garamond" w:cs="Times New Roman"/>
          <w:b/>
          <w:bCs/>
          <w:sz w:val="24"/>
          <w:szCs w:val="24"/>
        </w:rPr>
        <w:t>Behaviour</w:t>
      </w:r>
      <w:proofErr w:type="spellEnd"/>
      <w:r w:rsidRPr="00FE64D0">
        <w:rPr>
          <w:rFonts w:ascii="Garamond" w:hAnsi="Garamond" w:cs="Times New Roman"/>
          <w:b/>
          <w:bCs/>
          <w:sz w:val="24"/>
          <w:szCs w:val="24"/>
        </w:rPr>
        <w:t xml:space="preserve"> Change and Satisfaction</w:t>
      </w:r>
    </w:p>
    <w:p w14:paraId="777FA6FC" w14:textId="20A84C79" w:rsidR="00327113" w:rsidRPr="00FE64D0" w:rsidRDefault="00327113">
      <w:pPr>
        <w:spacing w:before="40" w:after="60"/>
        <w:jc w:val="both"/>
        <w:rPr>
          <w:rFonts w:ascii="Garamond" w:hAnsi="Garamond" w:cs="Times New Roman"/>
          <w:sz w:val="24"/>
          <w:szCs w:val="24"/>
        </w:rPr>
      </w:pPr>
      <w:r w:rsidRPr="00FE64D0">
        <w:rPr>
          <w:rFonts w:ascii="Garamond" w:hAnsi="Garamond" w:cs="Times New Roman"/>
          <w:sz w:val="24"/>
          <w:szCs w:val="24"/>
        </w:rPr>
        <w:t>Nine of fourteen participants stated a concrete action they would take after training. Responses covered three areas directly relevant to the proposed project. On classroom practice, one participant stated they would get information from the learners they are trying to impact and use that to guide their teaching, reflecting the learner-</w:t>
      </w:r>
      <w:proofErr w:type="spellStart"/>
      <w:r w:rsidRPr="00FE64D0">
        <w:rPr>
          <w:rFonts w:ascii="Garamond" w:hAnsi="Garamond" w:cs="Times New Roman"/>
          <w:sz w:val="24"/>
          <w:szCs w:val="24"/>
        </w:rPr>
        <w:t>centred</w:t>
      </w:r>
      <w:proofErr w:type="spellEnd"/>
      <w:r w:rsidRPr="00FE64D0">
        <w:rPr>
          <w:rFonts w:ascii="Garamond" w:hAnsi="Garamond" w:cs="Times New Roman"/>
          <w:sz w:val="24"/>
          <w:szCs w:val="24"/>
        </w:rPr>
        <w:t xml:space="preserve"> approach that underpins gender-transformative pedagogy and that the Bespoke course seeks to </w:t>
      </w:r>
      <w:proofErr w:type="spellStart"/>
      <w:r w:rsidRPr="00FE64D0">
        <w:rPr>
          <w:rFonts w:ascii="Garamond" w:hAnsi="Garamond" w:cs="Times New Roman"/>
          <w:sz w:val="24"/>
          <w:szCs w:val="24"/>
        </w:rPr>
        <w:t>institutionalise</w:t>
      </w:r>
      <w:proofErr w:type="spellEnd"/>
      <w:r w:rsidRPr="00FE64D0">
        <w:rPr>
          <w:rFonts w:ascii="Garamond" w:hAnsi="Garamond" w:cs="Times New Roman"/>
          <w:sz w:val="24"/>
          <w:szCs w:val="24"/>
        </w:rPr>
        <w:t xml:space="preserve"> among teachers. On community advocacy, participants committed </w:t>
      </w:r>
      <w:r w:rsidRPr="00FE64D0">
        <w:rPr>
          <w:rFonts w:ascii="Garamond" w:hAnsi="Garamond" w:cs="Times New Roman"/>
          <w:sz w:val="24"/>
          <w:szCs w:val="24"/>
        </w:rPr>
        <w:lastRenderedPageBreak/>
        <w:t>to spreading awareness about gender equity and challenging the cultural stereotypes that follow learners into the classroom. On personal commitment, one participant stated they would never encourage gender-based violence in any form, a significant declaration given that GBV risk is one of the key barriers to girls' participation and school transition</w:t>
      </w:r>
      <w:r w:rsidR="00FE64D0" w:rsidRPr="00FE64D0">
        <w:rPr>
          <w:rFonts w:ascii="Garamond" w:hAnsi="Garamond" w:cs="Times New Roman"/>
          <w:sz w:val="24"/>
          <w:szCs w:val="24"/>
        </w:rPr>
        <w:t>.</w:t>
      </w:r>
    </w:p>
    <w:p w14:paraId="4C72C882" w14:textId="62137E71" w:rsidR="00EA3232" w:rsidRPr="00FE64D0" w:rsidRDefault="00000000">
      <w:pPr>
        <w:spacing w:before="40" w:after="60"/>
        <w:jc w:val="both"/>
        <w:rPr>
          <w:rFonts w:ascii="Garamond" w:hAnsi="Garamond" w:cs="Times New Roman"/>
          <w:sz w:val="24"/>
          <w:szCs w:val="24"/>
        </w:rPr>
      </w:pPr>
      <w:r w:rsidRPr="00FE64D0">
        <w:rPr>
          <w:rFonts w:ascii="Garamond" w:hAnsi="Garamond" w:cs="Times New Roman"/>
          <w:sz w:val="24"/>
          <w:szCs w:val="24"/>
        </w:rPr>
        <w:t xml:space="preserve"> All respondents rated the training as either Good (5) or Excellent (4), and all agreed the delivery was easy to understand. </w:t>
      </w:r>
      <w:r w:rsidR="00C24CD3" w:rsidRPr="00FE64D0">
        <w:rPr>
          <w:rFonts w:ascii="Garamond" w:hAnsi="Garamond" w:cs="Times New Roman"/>
          <w:sz w:val="24"/>
          <w:szCs w:val="24"/>
        </w:rPr>
        <w:t xml:space="preserve">These findings provide evidence that even a single structured GTP training session can lead to measurable attitude changes and to concrete intended </w:t>
      </w:r>
      <w:proofErr w:type="spellStart"/>
      <w:r w:rsidR="00C24CD3" w:rsidRPr="00FE64D0">
        <w:rPr>
          <w:rFonts w:ascii="Garamond" w:hAnsi="Garamond" w:cs="Times New Roman"/>
          <w:sz w:val="24"/>
          <w:szCs w:val="24"/>
        </w:rPr>
        <w:t>behaviour</w:t>
      </w:r>
      <w:proofErr w:type="spellEnd"/>
      <w:r w:rsidR="00C24CD3" w:rsidRPr="00FE64D0">
        <w:rPr>
          <w:rFonts w:ascii="Garamond" w:hAnsi="Garamond" w:cs="Times New Roman"/>
          <w:sz w:val="24"/>
          <w:szCs w:val="24"/>
        </w:rPr>
        <w:t xml:space="preserve"> changes of teachers</w:t>
      </w:r>
      <w:r w:rsidRPr="00FE64D0">
        <w:rPr>
          <w:rFonts w:ascii="Garamond" w:hAnsi="Garamond" w:cs="Times New Roman"/>
          <w:sz w:val="24"/>
          <w:szCs w:val="24"/>
        </w:rPr>
        <w:t xml:space="preserve">, </w:t>
      </w:r>
      <w:r w:rsidR="00C24CD3" w:rsidRPr="00FE64D0">
        <w:rPr>
          <w:rFonts w:ascii="Garamond" w:hAnsi="Garamond" w:cs="Times New Roman"/>
          <w:sz w:val="24"/>
          <w:szCs w:val="24"/>
        </w:rPr>
        <w:t xml:space="preserve">and argue for a longer-term and more embedded GTP </w:t>
      </w:r>
      <w:proofErr w:type="spellStart"/>
      <w:r w:rsidR="00C24CD3" w:rsidRPr="00FE64D0">
        <w:rPr>
          <w:rFonts w:ascii="Garamond" w:hAnsi="Garamond" w:cs="Times New Roman"/>
          <w:sz w:val="24"/>
          <w:szCs w:val="24"/>
        </w:rPr>
        <w:t>programme</w:t>
      </w:r>
      <w:proofErr w:type="spellEnd"/>
      <w:r w:rsidR="00C24CD3" w:rsidRPr="00FE64D0">
        <w:rPr>
          <w:rFonts w:ascii="Garamond" w:hAnsi="Garamond" w:cs="Times New Roman"/>
          <w:sz w:val="24"/>
          <w:szCs w:val="24"/>
        </w:rPr>
        <w:t xml:space="preserve"> in the schools.</w:t>
      </w:r>
    </w:p>
    <w:p w14:paraId="6A830E4C" w14:textId="57F6EF65" w:rsidR="00EA3232" w:rsidRPr="00FE64D0" w:rsidRDefault="00000000">
      <w:pPr>
        <w:spacing w:before="200" w:after="80"/>
        <w:rPr>
          <w:rFonts w:ascii="Garamond" w:hAnsi="Garamond" w:cs="Times New Roman"/>
          <w:sz w:val="24"/>
          <w:szCs w:val="24"/>
        </w:rPr>
      </w:pPr>
      <w:r w:rsidRPr="00FE64D0">
        <w:rPr>
          <w:rFonts w:ascii="Garamond" w:hAnsi="Garamond" w:cs="Times New Roman"/>
          <w:b/>
          <w:bCs/>
          <w:sz w:val="24"/>
          <w:szCs w:val="24"/>
        </w:rPr>
        <w:t xml:space="preserve">6. Implications for the </w:t>
      </w:r>
      <w:r w:rsidR="00B04334" w:rsidRPr="00FE64D0">
        <w:rPr>
          <w:rFonts w:ascii="Garamond" w:hAnsi="Garamond" w:cs="Times New Roman"/>
          <w:b/>
          <w:bCs/>
          <w:sz w:val="24"/>
          <w:szCs w:val="24"/>
        </w:rPr>
        <w:t>Future</w:t>
      </w:r>
      <w:r w:rsidRPr="00FE64D0">
        <w:rPr>
          <w:rFonts w:ascii="Garamond" w:hAnsi="Garamond" w:cs="Times New Roman"/>
          <w:b/>
          <w:bCs/>
          <w:sz w:val="24"/>
          <w:szCs w:val="24"/>
        </w:rPr>
        <w:t xml:space="preserve"> Project</w:t>
      </w:r>
      <w:r w:rsidR="00B04334" w:rsidRPr="00FE64D0">
        <w:rPr>
          <w:rFonts w:ascii="Garamond" w:hAnsi="Garamond" w:cs="Times New Roman"/>
          <w:b/>
          <w:bCs/>
          <w:sz w:val="24"/>
          <w:szCs w:val="24"/>
        </w:rPr>
        <w:t>s</w:t>
      </w:r>
    </w:p>
    <w:p w14:paraId="40C8691A" w14:textId="66D6D343" w:rsidR="00EA3232" w:rsidRPr="00FE64D0" w:rsidRDefault="00C24CD3">
      <w:pPr>
        <w:pStyle w:val="ListParagraph"/>
        <w:numPr>
          <w:ilvl w:val="0"/>
          <w:numId w:val="2"/>
        </w:numPr>
        <w:spacing w:before="30" w:after="30"/>
        <w:rPr>
          <w:rFonts w:ascii="Garamond" w:hAnsi="Garamond" w:cs="Times New Roman"/>
          <w:sz w:val="24"/>
          <w:szCs w:val="24"/>
        </w:rPr>
      </w:pPr>
      <w:r w:rsidRPr="00FE64D0">
        <w:rPr>
          <w:rFonts w:ascii="Garamond" w:hAnsi="Garamond" w:cs="Times New Roman"/>
          <w:sz w:val="24"/>
          <w:szCs w:val="24"/>
        </w:rPr>
        <w:t>The pre-test results show that teachers entering GTP training have specific conceptual inadequacies that need to be addressed through structured intervention. The Bespoke course is proposed to address these gaps systemically over time.</w:t>
      </w:r>
    </w:p>
    <w:p w14:paraId="6374EF12" w14:textId="1954EF49" w:rsidR="00EA3232" w:rsidRPr="00FE64D0" w:rsidRDefault="00FE64D0">
      <w:pPr>
        <w:pStyle w:val="ListParagraph"/>
        <w:numPr>
          <w:ilvl w:val="0"/>
          <w:numId w:val="2"/>
        </w:numPr>
        <w:spacing w:before="30" w:after="30"/>
        <w:rPr>
          <w:rFonts w:ascii="Garamond" w:hAnsi="Garamond" w:cs="Times New Roman"/>
          <w:sz w:val="24"/>
          <w:szCs w:val="24"/>
        </w:rPr>
      </w:pPr>
      <w:r w:rsidRPr="00FE64D0">
        <w:rPr>
          <w:rFonts w:ascii="Garamond" w:hAnsi="Garamond" w:cs="Times New Roman"/>
          <w:sz w:val="24"/>
          <w:szCs w:val="24"/>
        </w:rPr>
        <w:t xml:space="preserve">The </w:t>
      </w:r>
      <w:r w:rsidR="00C24CD3" w:rsidRPr="00FE64D0">
        <w:rPr>
          <w:rFonts w:ascii="Garamond" w:hAnsi="Garamond" w:cs="Times New Roman"/>
          <w:sz w:val="24"/>
          <w:szCs w:val="24"/>
        </w:rPr>
        <w:t xml:space="preserve">viability of the longer term, more modular, approach </w:t>
      </w:r>
      <w:proofErr w:type="gramStart"/>
      <w:r w:rsidR="00C24CD3" w:rsidRPr="00FE64D0">
        <w:rPr>
          <w:rFonts w:ascii="Garamond" w:hAnsi="Garamond" w:cs="Times New Roman"/>
          <w:sz w:val="24"/>
          <w:szCs w:val="24"/>
        </w:rPr>
        <w:t>are</w:t>
      </w:r>
      <w:proofErr w:type="gramEnd"/>
      <w:r w:rsidR="00C24CD3" w:rsidRPr="00FE64D0">
        <w:rPr>
          <w:rFonts w:ascii="Garamond" w:hAnsi="Garamond" w:cs="Times New Roman"/>
          <w:sz w:val="24"/>
          <w:szCs w:val="24"/>
        </w:rPr>
        <w:t xml:space="preserve"> expected to make deeper pedagogical changes that will yield measurable learning outcomes for the </w:t>
      </w:r>
      <w:r w:rsidRPr="00FE64D0">
        <w:rPr>
          <w:rFonts w:ascii="Garamond" w:hAnsi="Garamond" w:cs="Times New Roman"/>
          <w:sz w:val="24"/>
          <w:szCs w:val="24"/>
        </w:rPr>
        <w:t xml:space="preserve">teachers and </w:t>
      </w:r>
      <w:r w:rsidR="00C24CD3" w:rsidRPr="00FE64D0">
        <w:rPr>
          <w:rFonts w:ascii="Garamond" w:hAnsi="Garamond" w:cs="Times New Roman"/>
          <w:sz w:val="24"/>
          <w:szCs w:val="24"/>
        </w:rPr>
        <w:t>learners.</w:t>
      </w:r>
    </w:p>
    <w:p w14:paraId="00383F73" w14:textId="2DB18722" w:rsidR="00EA3232" w:rsidRPr="00FE64D0" w:rsidRDefault="00C24CD3">
      <w:pPr>
        <w:pStyle w:val="ListParagraph"/>
        <w:numPr>
          <w:ilvl w:val="0"/>
          <w:numId w:val="2"/>
        </w:numPr>
        <w:spacing w:before="30" w:after="30"/>
        <w:rPr>
          <w:rFonts w:ascii="Garamond" w:hAnsi="Garamond" w:cs="Times New Roman"/>
          <w:sz w:val="24"/>
          <w:szCs w:val="24"/>
        </w:rPr>
      </w:pPr>
      <w:r w:rsidRPr="00FE64D0">
        <w:rPr>
          <w:rFonts w:ascii="Garamond" w:hAnsi="Garamond" w:cs="Times New Roman"/>
          <w:sz w:val="24"/>
          <w:szCs w:val="24"/>
        </w:rPr>
        <w:t xml:space="preserve">It is recommended that the NYSC Osun State Coordination Office be formally partnered with as a complementary scaling mechanism to SUBEB partnership </w:t>
      </w:r>
      <w:r w:rsidR="00B04334" w:rsidRPr="00FE64D0">
        <w:rPr>
          <w:rFonts w:ascii="Garamond" w:hAnsi="Garamond" w:cs="Times New Roman"/>
          <w:sz w:val="24"/>
          <w:szCs w:val="24"/>
        </w:rPr>
        <w:t xml:space="preserve">with CGSPS </w:t>
      </w:r>
      <w:r w:rsidRPr="00FE64D0">
        <w:rPr>
          <w:rFonts w:ascii="Garamond" w:hAnsi="Garamond" w:cs="Times New Roman"/>
          <w:sz w:val="24"/>
          <w:szCs w:val="24"/>
        </w:rPr>
        <w:t>to ensure that all permanent teachers and corps members deployed to public schools are reached by GTP.</w:t>
      </w:r>
    </w:p>
    <w:p w14:paraId="1AB5326F" w14:textId="10E67904" w:rsidR="00EA3232" w:rsidRPr="00FE64D0" w:rsidRDefault="00EA3232">
      <w:pPr>
        <w:spacing w:before="60" w:after="60"/>
        <w:jc w:val="center"/>
        <w:rPr>
          <w:rFonts w:ascii="Garamond" w:hAnsi="Garamond" w:cs="Times New Roman"/>
          <w:sz w:val="24"/>
          <w:szCs w:val="24"/>
        </w:rPr>
      </w:pPr>
    </w:p>
    <w:sectPr w:rsidR="00EA3232" w:rsidRPr="00FE64D0">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318"/>
    <w:multiLevelType w:val="hybridMultilevel"/>
    <w:tmpl w:val="41DAA458"/>
    <w:lvl w:ilvl="0" w:tplc="3A6219C2">
      <w:start w:val="1"/>
      <w:numFmt w:val="bullet"/>
      <w:lvlText w:val="●"/>
      <w:lvlJc w:val="left"/>
      <w:pPr>
        <w:ind w:left="720" w:hanging="360"/>
      </w:pPr>
    </w:lvl>
    <w:lvl w:ilvl="1" w:tplc="805A7364">
      <w:start w:val="1"/>
      <w:numFmt w:val="bullet"/>
      <w:lvlText w:val="○"/>
      <w:lvlJc w:val="left"/>
      <w:pPr>
        <w:ind w:left="1440" w:hanging="360"/>
      </w:pPr>
    </w:lvl>
    <w:lvl w:ilvl="2" w:tplc="20246844">
      <w:start w:val="1"/>
      <w:numFmt w:val="bullet"/>
      <w:lvlText w:val="■"/>
      <w:lvlJc w:val="left"/>
      <w:pPr>
        <w:ind w:left="2160" w:hanging="360"/>
      </w:pPr>
    </w:lvl>
    <w:lvl w:ilvl="3" w:tplc="6B8C4202">
      <w:start w:val="1"/>
      <w:numFmt w:val="bullet"/>
      <w:lvlText w:val="●"/>
      <w:lvlJc w:val="left"/>
      <w:pPr>
        <w:ind w:left="2880" w:hanging="360"/>
      </w:pPr>
    </w:lvl>
    <w:lvl w:ilvl="4" w:tplc="D30068FA">
      <w:start w:val="1"/>
      <w:numFmt w:val="bullet"/>
      <w:lvlText w:val="○"/>
      <w:lvlJc w:val="left"/>
      <w:pPr>
        <w:ind w:left="3600" w:hanging="360"/>
      </w:pPr>
    </w:lvl>
    <w:lvl w:ilvl="5" w:tplc="AD88A998">
      <w:start w:val="1"/>
      <w:numFmt w:val="bullet"/>
      <w:lvlText w:val="■"/>
      <w:lvlJc w:val="left"/>
      <w:pPr>
        <w:ind w:left="4320" w:hanging="360"/>
      </w:pPr>
    </w:lvl>
    <w:lvl w:ilvl="6" w:tplc="D6A895F8">
      <w:start w:val="1"/>
      <w:numFmt w:val="bullet"/>
      <w:lvlText w:val="●"/>
      <w:lvlJc w:val="left"/>
      <w:pPr>
        <w:ind w:left="5040" w:hanging="360"/>
      </w:pPr>
    </w:lvl>
    <w:lvl w:ilvl="7" w:tplc="B5FE6A64">
      <w:start w:val="1"/>
      <w:numFmt w:val="bullet"/>
      <w:lvlText w:val="●"/>
      <w:lvlJc w:val="left"/>
      <w:pPr>
        <w:ind w:left="5760" w:hanging="360"/>
      </w:pPr>
    </w:lvl>
    <w:lvl w:ilvl="8" w:tplc="09844798">
      <w:start w:val="1"/>
      <w:numFmt w:val="bullet"/>
      <w:lvlText w:val="●"/>
      <w:lvlJc w:val="left"/>
      <w:pPr>
        <w:ind w:left="6480" w:hanging="360"/>
      </w:pPr>
    </w:lvl>
  </w:abstractNum>
  <w:abstractNum w:abstractNumId="1" w15:restartNumberingAfterBreak="0">
    <w:nsid w:val="607772A8"/>
    <w:multiLevelType w:val="hybridMultilevel"/>
    <w:tmpl w:val="EAF437BE"/>
    <w:lvl w:ilvl="0" w:tplc="BEC071AC">
      <w:start w:val="1"/>
      <w:numFmt w:val="bullet"/>
      <w:lvlText w:val="•"/>
      <w:lvlJc w:val="left"/>
      <w:pPr>
        <w:ind w:left="600" w:hanging="300"/>
      </w:pPr>
    </w:lvl>
    <w:lvl w:ilvl="1" w:tplc="6728D63E">
      <w:numFmt w:val="decimal"/>
      <w:lvlText w:val=""/>
      <w:lvlJc w:val="left"/>
    </w:lvl>
    <w:lvl w:ilvl="2" w:tplc="BC50DB76">
      <w:numFmt w:val="decimal"/>
      <w:lvlText w:val=""/>
      <w:lvlJc w:val="left"/>
    </w:lvl>
    <w:lvl w:ilvl="3" w:tplc="BEB470CA">
      <w:numFmt w:val="decimal"/>
      <w:lvlText w:val=""/>
      <w:lvlJc w:val="left"/>
    </w:lvl>
    <w:lvl w:ilvl="4" w:tplc="6788259C">
      <w:numFmt w:val="decimal"/>
      <w:lvlText w:val=""/>
      <w:lvlJc w:val="left"/>
    </w:lvl>
    <w:lvl w:ilvl="5" w:tplc="50842756">
      <w:numFmt w:val="decimal"/>
      <w:lvlText w:val=""/>
      <w:lvlJc w:val="left"/>
    </w:lvl>
    <w:lvl w:ilvl="6" w:tplc="51E66660">
      <w:numFmt w:val="decimal"/>
      <w:lvlText w:val=""/>
      <w:lvlJc w:val="left"/>
    </w:lvl>
    <w:lvl w:ilvl="7" w:tplc="EE84DFFA">
      <w:numFmt w:val="decimal"/>
      <w:lvlText w:val=""/>
      <w:lvlJc w:val="left"/>
    </w:lvl>
    <w:lvl w:ilvl="8" w:tplc="2C46CF7A">
      <w:numFmt w:val="decimal"/>
      <w:lvlText w:val=""/>
      <w:lvlJc w:val="left"/>
    </w:lvl>
  </w:abstractNum>
  <w:num w:numId="1" w16cid:durableId="868034549">
    <w:abstractNumId w:val="0"/>
    <w:lvlOverride w:ilvl="0">
      <w:startOverride w:val="1"/>
    </w:lvlOverride>
  </w:num>
  <w:num w:numId="2" w16cid:durableId="28188112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32"/>
    <w:rsid w:val="000B44B2"/>
    <w:rsid w:val="00164CD3"/>
    <w:rsid w:val="0025202A"/>
    <w:rsid w:val="00327113"/>
    <w:rsid w:val="0045063A"/>
    <w:rsid w:val="005248CE"/>
    <w:rsid w:val="005730EC"/>
    <w:rsid w:val="00614767"/>
    <w:rsid w:val="00B04334"/>
    <w:rsid w:val="00B35677"/>
    <w:rsid w:val="00BD2134"/>
    <w:rsid w:val="00C24CD3"/>
    <w:rsid w:val="00D545AF"/>
    <w:rsid w:val="00D96825"/>
    <w:rsid w:val="00EA3232"/>
    <w:rsid w:val="00F50C3E"/>
    <w:rsid w:val="00FE6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99B67"/>
  <w15:docId w15:val="{9BF6B1CF-6C65-456A-A678-2EEB0722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327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cp:lastModifiedBy>
  <cp:revision>3</cp:revision>
  <dcterms:created xsi:type="dcterms:W3CDTF">2026-06-03T11:17:00Z</dcterms:created>
  <dcterms:modified xsi:type="dcterms:W3CDTF">2026-06-03T13:46:00Z</dcterms:modified>
</cp:coreProperties>
</file>