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2025 Cohort Evaluation</w:t>
      </w:r>
    </w:p>
    <w:p>
      <w:pPr>
        <w:pStyle w:val="Heading1"/>
      </w:pPr>
      <w:r>
        <w:t>2025 COHORT EVALUATION</w:t>
      </w:r>
    </w:p>
    <w:p>
      <w:r>
        <w:t>Participants Trained: 36</w:t>
      </w:r>
    </w:p>
    <w:p>
      <w:r>
        <w:t>The 2025 cohort used a more detailed model integrating mentoring, peer learning, workplace assignments, and reflection.</w:t>
      </w:r>
    </w:p>
    <w:p>
      <w:pPr>
        <w:pStyle w:val="Heading2"/>
      </w:pPr>
      <w:r>
        <w:t>Learning Outcomes</w:t>
      </w:r>
    </w:p>
    <w:p>
      <w:r>
        <w:t>▪ 95% improved gender knowledge.</w:t>
      </w:r>
    </w:p>
    <w:p>
      <w:r>
        <w:t>▪ 92% identified institutional barriers.</w:t>
      </w:r>
    </w:p>
    <w:p>
      <w:r>
        <w:t>▪ Confidence increased from 32% to 89%.</w:t>
      </w:r>
    </w:p>
    <w:p>
      <w:pPr>
        <w:pStyle w:val="Heading2"/>
      </w:pPr>
      <w:r>
        <w:t>Application of Learning</w:t>
      </w:r>
    </w:p>
    <w:p>
      <w:r>
        <w:t>▪ 83% applied learning within 3 months.</w:t>
      </w:r>
    </w:p>
    <w:p>
      <w:r>
        <w:t>▪ 75% initiated gender-related activities.</w:t>
      </w:r>
    </w:p>
    <w:p>
      <w:r>
        <w:t>▪ 67% influenced workplace policies.</w:t>
      </w:r>
    </w:p>
    <w:p>
      <w:pPr>
        <w:pStyle w:val="Heading2"/>
      </w:pPr>
      <w:r>
        <w:t>Critical Reflection</w:t>
      </w:r>
    </w:p>
    <w:p>
      <w:r>
        <w:t>Stronger capacity to translate learning into workplace action observed.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