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2024 Cohort Evaluation</w:t>
      </w:r>
    </w:p>
    <w:p>
      <w:pPr>
        <w:pStyle w:val="Heading1"/>
      </w:pPr>
      <w:r>
        <w:t>2024 COHORT EVALUATION</w:t>
      </w:r>
    </w:p>
    <w:p>
      <w:r>
        <w:t>Participants Trained: 32</w:t>
      </w:r>
    </w:p>
    <w:p>
      <w:r>
        <w:t>The 2024 cohort benefited from programme refinements including mentoring arrangements, reflective learning circles, and workplace assignments.</w:t>
      </w:r>
    </w:p>
    <w:p>
      <w:pPr>
        <w:pStyle w:val="Heading2"/>
      </w:pPr>
      <w:r>
        <w:t>Learning Outcomes</w:t>
      </w:r>
    </w:p>
    <w:p>
      <w:r>
        <w:t>▪ 93% demonstrated improvement in gender knowledge between pre-training and post-training assessments.</w:t>
      </w:r>
    </w:p>
    <w:p>
      <w:r>
        <w:t>▪ 88% could identify institutional practices that reinforce gender inequality and exclusion.</w:t>
      </w:r>
    </w:p>
    <w:p>
      <w:r>
        <w:t>▪ Confidence increased from 29% to 86%.</w:t>
      </w:r>
    </w:p>
    <w:p>
      <w:pPr>
        <w:pStyle w:val="Heading2"/>
      </w:pPr>
      <w:r>
        <w:t>Application of Learning</w:t>
      </w:r>
    </w:p>
    <w:p>
      <w:r>
        <w:t>▪ 79% applied learning within 3 months.</w:t>
      </w:r>
    </w:p>
    <w:p>
      <w:r>
        <w:t>▪ 72% initiated gender-related activities.</w:t>
      </w:r>
    </w:p>
    <w:p>
      <w:r>
        <w:t>▪ 64% influenced organisational practices.</w:t>
      </w:r>
    </w:p>
    <w:p>
      <w:pPr>
        <w:pStyle w:val="Heading2"/>
      </w:pPr>
      <w:r>
        <w:t>Critical Reflection</w:t>
      </w:r>
    </w:p>
    <w:p>
      <w:r>
        <w:t>Participants found mentoring and assignments improved practical application.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