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2023 Cohort Evaluation</w:t>
      </w:r>
    </w:p>
    <w:p>
      <w:pPr>
        <w:pStyle w:val="Heading1"/>
      </w:pPr>
      <w:r>
        <w:t>2023 COHORT EVALUATION</w:t>
      </w:r>
    </w:p>
    <w:p>
      <w:r>
        <w:t>Participants Trained: 52</w:t>
      </w:r>
    </w:p>
    <w:p>
      <w:r>
        <w:t>The 2023 cohort represented the inaugural implementation of the Bespoke Hybrid Certificate Course in Gender and Development. Participants included educators, researchers, development practitioners, government officials, and civil society actors from multiple states across Nigeria.</w:t>
      </w:r>
    </w:p>
    <w:p>
      <w:pPr>
        <w:pStyle w:val="Heading2"/>
      </w:pPr>
      <w:r>
        <w:t>Learning Outcomes</w:t>
      </w:r>
    </w:p>
    <w:p>
      <w:r>
        <w:t>Pre- and post-training assessments indicated substantial gains in participants' understanding of gender concepts, gender-transformative approaches, and social norms.</w:t>
      </w:r>
    </w:p>
    <w:p>
      <w:pPr>
        <w:pStyle w:val="Heading2"/>
      </w:pPr>
      <w:r>
        <w:t>Key Findings</w:t>
      </w:r>
    </w:p>
    <w:p>
      <w:r>
        <w:t>▪ 89% of participants demonstrated improvement in gender knowledge between pre-training and post-training assessments.</w:t>
      </w:r>
    </w:p>
    <w:p>
      <w:r>
        <w:t>▪ 82% could identify institutional practices that contribute to gender inequality and exclusion following the training.</w:t>
      </w:r>
    </w:p>
    <w:p>
      <w:r>
        <w:t>▪ Confidence in applying gender-responsive approaches increased from 24% at baseline to 79% following programme completion.</w:t>
      </w:r>
    </w:p>
    <w:p>
      <w:pPr>
        <w:pStyle w:val="Heading2"/>
      </w:pPr>
      <w:r>
        <w:t>Application of Learning</w:t>
      </w:r>
    </w:p>
    <w:p>
      <w:r>
        <w:t>▪ 72% reported applying learning within their workplace.</w:t>
      </w:r>
    </w:p>
    <w:p>
      <w:r>
        <w:t>▪ 65% initiated at least one gender-related activity in their institution.</w:t>
      </w:r>
    </w:p>
    <w:p>
      <w:r>
        <w:t>▪ 58% reported influencing workplace practices, colleagues, or institutional processes.</w:t>
      </w:r>
    </w:p>
    <w:p>
      <w:pPr>
        <w:pStyle w:val="Heading2"/>
      </w:pPr>
      <w:r>
        <w:t>Critical Reflection</w:t>
      </w:r>
    </w:p>
    <w:p>
      <w:r>
        <w:t>Participants expressed need for stronger mentoring support and structured peer learning.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